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jc w:val="center"/>
        <w:rPr>
          <w:rFonts w:ascii="Montserrat" w:cs="Montserrat" w:eastAsia="Montserrat" w:hAnsi="Montserrat"/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Análisis </w:t>
      </w:r>
      <w:r w:rsidDel="00000000" w:rsidR="00000000" w:rsidRPr="00000000">
        <w:rPr>
          <w:rFonts w:ascii="Montserrat" w:cs="Montserrat" w:eastAsia="Montserrat" w:hAnsi="Montserrat"/>
          <w:b w:val="1"/>
          <w:sz w:val="24"/>
          <w:szCs w:val="24"/>
          <w:rtl w:val="0"/>
        </w:rPr>
        <w:t xml:space="preserve">técnico para determinar sitios potenciales para la ubicación de rellenos sanitarios municipales, </w:t>
      </w:r>
      <w:r w:rsidDel="00000000" w:rsidR="00000000" w:rsidRPr="00000000">
        <w:rPr>
          <w:b w:val="1"/>
          <w:sz w:val="24"/>
          <w:szCs w:val="24"/>
          <w:rtl w:val="0"/>
        </w:rPr>
        <w:t xml:space="preserve">de acuerdo con</w:t>
      </w:r>
      <w:r w:rsidDel="00000000" w:rsidR="00000000" w:rsidRPr="00000000">
        <w:rPr>
          <w:rFonts w:ascii="Montserrat" w:cs="Montserrat" w:eastAsia="Montserrat" w:hAnsi="Montserrat"/>
          <w:b w:val="1"/>
          <w:sz w:val="24"/>
          <w:szCs w:val="24"/>
          <w:rtl w:val="0"/>
        </w:rPr>
        <w:t xml:space="preserve"> la Norma Oficia</w:t>
      </w:r>
      <w:r w:rsidDel="00000000" w:rsidR="00000000" w:rsidRPr="00000000">
        <w:rPr>
          <w:b w:val="1"/>
          <w:sz w:val="24"/>
          <w:szCs w:val="24"/>
          <w:rtl w:val="0"/>
        </w:rPr>
        <w:t xml:space="preserve">l Mexicana </w:t>
      </w:r>
      <w:r w:rsidDel="00000000" w:rsidR="00000000" w:rsidRPr="00000000">
        <w:rPr>
          <w:rFonts w:ascii="Montserrat" w:cs="Montserrat" w:eastAsia="Montserrat" w:hAnsi="Montserrat"/>
          <w:b w:val="1"/>
          <w:sz w:val="24"/>
          <w:szCs w:val="24"/>
          <w:rtl w:val="0"/>
        </w:rPr>
        <w:t xml:space="preserve">NOM-083-SEMARNAT</w:t>
      </w:r>
      <w:r w:rsidDel="00000000" w:rsidR="00000000" w:rsidRPr="00000000">
        <w:rPr>
          <w:b w:val="1"/>
          <w:sz w:val="24"/>
          <w:szCs w:val="24"/>
          <w:rtl w:val="0"/>
        </w:rPr>
        <w:t xml:space="preserve">-</w:t>
      </w:r>
      <w:r w:rsidDel="00000000" w:rsidR="00000000" w:rsidRPr="00000000">
        <w:rPr>
          <w:rFonts w:ascii="Montserrat" w:cs="Montserrat" w:eastAsia="Montserrat" w:hAnsi="Montserrat"/>
          <w:b w:val="1"/>
          <w:sz w:val="24"/>
          <w:szCs w:val="24"/>
          <w:rtl w:val="0"/>
        </w:rPr>
        <w:t xml:space="preserve">2003 dentro de la Junta Intermunicipal de Medio Ambiente Altos Sur</w:t>
      </w:r>
    </w:p>
    <w:p w:rsidR="00000000" w:rsidDel="00000000" w:rsidP="00000000" w:rsidRDefault="00000000" w:rsidRPr="00000000" w14:paraId="00000002">
      <w:pPr>
        <w:spacing w:after="0" w:lineRule="auto"/>
        <w:rPr/>
      </w:pPr>
      <w:r w:rsidDel="00000000" w:rsidR="00000000" w:rsidRPr="00000000">
        <w:rPr>
          <w:rtl w:val="0"/>
        </w:rPr>
        <w:t xml:space="preserve">Preparado por la Dirección de Geomática e Información Ambiental y Territorial</w:t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  <w:t xml:space="preserve">24 de enero de 2025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tl w:val="0"/>
        </w:rPr>
        <w:t xml:space="preserve">La Junta Intermunicipal de Medio Ambiente Altos Sur está conformada por 12 Municipios: Acatic, Arandas, Cañadas de Obregón, Jalostotitlán, Jesús María, Mexticacán, San Ignacio Cerro Gordo, San Julián, San Miguel el Alto, Tepatitlán de Morelos, Valle de Guadalupe y Yahualica de González Gallo.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pacing w:after="0" w:lineRule="auto"/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</w:rPr>
        <w:drawing>
          <wp:inline distB="0" distT="0" distL="0" distR="0">
            <wp:extent cx="5612130" cy="4149090"/>
            <wp:effectExtent b="0" l="0" r="0" t="0"/>
            <wp:docPr id="6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14909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jc w:val="center"/>
        <w:rPr>
          <w:rFonts w:ascii="Montserrat" w:cs="Montserrat" w:eastAsia="Montserrat" w:hAnsi="Montserrat"/>
          <w:sz w:val="18"/>
          <w:szCs w:val="18"/>
        </w:rPr>
      </w:pPr>
      <w:r w:rsidDel="00000000" w:rsidR="00000000" w:rsidRPr="00000000">
        <w:rPr>
          <w:rFonts w:ascii="Montserrat" w:cs="Montserrat" w:eastAsia="Montserrat" w:hAnsi="Montserrat"/>
          <w:b w:val="1"/>
          <w:sz w:val="18"/>
          <w:szCs w:val="18"/>
          <w:rtl w:val="0"/>
        </w:rPr>
        <w:t xml:space="preserve">Figura 1.</w:t>
      </w:r>
      <w:r w:rsidDel="00000000" w:rsidR="00000000" w:rsidRPr="00000000">
        <w:rPr>
          <w:rFonts w:ascii="Montserrat" w:cs="Montserrat" w:eastAsia="Montserrat" w:hAnsi="Montserrat"/>
          <w:sz w:val="18"/>
          <w:szCs w:val="18"/>
          <w:rtl w:val="0"/>
        </w:rPr>
        <w:t xml:space="preserve"> Municipios que conforman la Junta Intermunicipal de Medio Ambiente Altos Sur.</w:t>
      </w:r>
    </w:p>
    <w:p w:rsidR="00000000" w:rsidDel="00000000" w:rsidP="00000000" w:rsidRDefault="00000000" w:rsidRPr="00000000" w14:paraId="00000007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Para la selección de sitios potenciales de rellenos sanitarios municipales se consideraron las siguientes variables:</w:t>
      </w:r>
    </w:p>
    <w:p w:rsidR="00000000" w:rsidDel="00000000" w:rsidP="00000000" w:rsidRDefault="00000000" w:rsidRPr="00000000" w14:paraId="00000008">
      <w:pPr>
        <w:spacing w:after="0" w:lineRule="auto"/>
        <w:jc w:val="center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b w:val="1"/>
          <w:sz w:val="18"/>
          <w:szCs w:val="18"/>
          <w:rtl w:val="0"/>
        </w:rPr>
        <w:t xml:space="preserve">Tabla 1.</w:t>
      </w:r>
      <w:r w:rsidDel="00000000" w:rsidR="00000000" w:rsidRPr="00000000">
        <w:rPr>
          <w:rFonts w:ascii="Montserrat" w:cs="Montserrat" w:eastAsia="Montserrat" w:hAnsi="Montserrat"/>
          <w:sz w:val="18"/>
          <w:szCs w:val="18"/>
          <w:rtl w:val="0"/>
        </w:rPr>
        <w:t xml:space="preserve"> Variables restrictivas para la selección de sitios potenciales de rellenos sanitarios munici</w:t>
      </w:r>
      <w:r w:rsidDel="00000000" w:rsidR="00000000" w:rsidRPr="00000000">
        <w:rPr>
          <w:sz w:val="18"/>
          <w:szCs w:val="18"/>
          <w:rtl w:val="0"/>
        </w:rPr>
        <w:t xml:space="preserve">pales</w:t>
      </w:r>
      <w:r w:rsidDel="00000000" w:rsidR="00000000" w:rsidRPr="00000000">
        <w:rPr>
          <w:rFonts w:ascii="Montserrat" w:cs="Montserrat" w:eastAsia="Montserrat" w:hAnsi="Montserrat"/>
          <w:sz w:val="18"/>
          <w:szCs w:val="18"/>
          <w:rtl w:val="0"/>
        </w:rPr>
        <w:t xml:space="preserve">.</w:t>
      </w:r>
      <w:r w:rsidDel="00000000" w:rsidR="00000000" w:rsidRPr="00000000">
        <w:rPr>
          <w:rtl w:val="0"/>
        </w:rPr>
      </w:r>
    </w:p>
    <w:tbl>
      <w:tblPr>
        <w:tblStyle w:val="Table1"/>
        <w:tblW w:w="9100.0" w:type="dxa"/>
        <w:jc w:val="left"/>
        <w:tblLayout w:type="fixed"/>
        <w:tblLook w:val="0400"/>
      </w:tblPr>
      <w:tblGrid>
        <w:gridCol w:w="4500"/>
        <w:gridCol w:w="4600"/>
        <w:tblGridChange w:id="0">
          <w:tblGrid>
            <w:gridCol w:w="4500"/>
            <w:gridCol w:w="4600"/>
          </w:tblGrid>
        </w:tblGridChange>
      </w:tblGrid>
      <w:tr>
        <w:trPr>
          <w:cantSplit w:val="0"/>
          <w:tblHeader w:val="1"/>
        </w:trPr>
        <w:tc>
          <w:tcPr>
            <w:gridSpan w:val="2"/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cccccc" w:val="clear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9">
            <w:pPr>
              <w:spacing w:after="0" w:line="240" w:lineRule="auto"/>
              <w:jc w:val="center"/>
              <w:rPr>
                <w:rFonts w:ascii="Montserrat" w:cs="Montserrat" w:eastAsia="Montserrat" w:hAnsi="Montserrat"/>
                <w:b w:val="1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color w:val="000000"/>
                <w:sz w:val="18"/>
                <w:szCs w:val="18"/>
                <w:rtl w:val="0"/>
              </w:rPr>
              <w:t xml:space="preserve">Variables restrictivas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auto" w:val="clear"/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0B">
            <w:pPr>
              <w:spacing w:after="0" w:line="240" w:lineRule="auto"/>
              <w:jc w:val="left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Áreas Naturales Protegidas decretadas y en proceso de </w:t>
            </w:r>
            <w:r w:rsidDel="00000000" w:rsidR="00000000" w:rsidRPr="00000000">
              <w:rPr>
                <w:rFonts w:ascii="Montserrat" w:cs="Montserrat" w:eastAsia="Montserrat" w:hAnsi="Montserrat"/>
                <w:sz w:val="18"/>
                <w:szCs w:val="18"/>
                <w:rtl w:val="0"/>
              </w:rPr>
              <w:t xml:space="preserve">decreto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auto" w:val="clear"/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0C">
            <w:pPr>
              <w:spacing w:after="0" w:line="240" w:lineRule="auto"/>
              <w:jc w:val="left"/>
              <w:rPr>
                <w:rFonts w:ascii="Montserrat" w:cs="Montserrat" w:eastAsia="Montserrat" w:hAnsi="Montserrat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Zona de restauración ecológica de la región de la Presa El Zapotillo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D">
            <w:pPr>
              <w:spacing w:after="0" w:line="240" w:lineRule="auto"/>
              <w:jc w:val="left"/>
              <w:rPr>
                <w:rFonts w:ascii="Montserrat" w:cs="Montserrat" w:eastAsia="Montserrat" w:hAnsi="Montserrat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Formación Natural de Interés Estatal Barrancas de los Ríos Santiago y Verde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E">
            <w:pPr>
              <w:spacing w:after="0" w:line="240" w:lineRule="auto"/>
              <w:jc w:val="left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3 propuestas de decretos en San Ignacio Cerro Gordo / Fuente: SEMADET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auto" w:val="clear"/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0F">
            <w:pPr>
              <w:spacing w:after="0" w:line="240" w:lineRule="auto"/>
              <w:jc w:val="left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Zonas urbanas y localidades existentes (con franja de amortiguamiento de 500m)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auto" w:val="clear"/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10">
            <w:pPr>
              <w:spacing w:after="0" w:line="240" w:lineRule="auto"/>
              <w:jc w:val="left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Conjunto de datos INEGI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auto" w:val="clear"/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11">
            <w:pPr>
              <w:spacing w:after="0" w:line="240" w:lineRule="auto"/>
              <w:jc w:val="left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Zonas arqueológicas (con franja de amortiguamiento de 500m)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auto" w:val="clear"/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12">
            <w:pPr>
              <w:spacing w:after="0" w:line="240" w:lineRule="auto"/>
              <w:jc w:val="left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 Zonas arqueológicas, INAH, </w:t>
              <w:br w:type="textWrapping"/>
              <w:t xml:space="preserve">INEGI + Sitios CONACULTA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auto" w:val="clear"/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13">
            <w:pPr>
              <w:spacing w:after="0" w:line="240" w:lineRule="auto"/>
              <w:jc w:val="left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Cuerpos de agua (con franja de amortiguamiento de 500m)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auto" w:val="clear"/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14">
            <w:pPr>
              <w:spacing w:after="0" w:line="240" w:lineRule="auto"/>
              <w:jc w:val="left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Conjunto de datos INEGI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auto" w:val="clear"/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15">
            <w:pPr>
              <w:spacing w:after="0" w:line="240" w:lineRule="auto"/>
              <w:jc w:val="left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Pozos de extracción de agua (con franja de amortiguamiento de 500m)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auto" w:val="clear"/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16">
            <w:pPr>
              <w:spacing w:after="0" w:line="240" w:lineRule="auto"/>
              <w:jc w:val="left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Registro Público de Derechos de </w:t>
              <w:br w:type="textWrapping"/>
              <w:t xml:space="preserve">Agua (REPDA), CONAGUA.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auto" w:val="clear"/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17">
            <w:pPr>
              <w:spacing w:after="0" w:line="240" w:lineRule="auto"/>
              <w:jc w:val="left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Corriente de agua perenne (con franja de amortiguamiento de 500m)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auto" w:val="clear"/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spacing w:after="0" w:line="240" w:lineRule="auto"/>
              <w:jc w:val="left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Conjunto de datos INEGI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auto" w:val="clear"/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spacing w:after="0" w:line="240" w:lineRule="auto"/>
              <w:jc w:val="left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Zonas de riesgo a inundaciones (con franja de amortiguamiento de 500m)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auto" w:val="clear"/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spacing w:after="0" w:line="240" w:lineRule="auto"/>
              <w:jc w:val="left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Atlas </w:t>
              <w:br w:type="textWrapping"/>
              <w:t xml:space="preserve">de Riesgos del Estado de Jalisco, UEPCyBJ.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auto" w:val="clear"/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spacing w:after="0" w:line="240" w:lineRule="auto"/>
              <w:jc w:val="left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Zonas de fallas y fracturas (con franja de amortiguamiento de 500m)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auto" w:val="clear"/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spacing w:after="0" w:line="240" w:lineRule="auto"/>
              <w:jc w:val="left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Atlas </w:t>
              <w:br w:type="textWrapping"/>
              <w:t xml:space="preserve">de Riesgos del Estado de Jalisco, UEPCyBJ.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auto" w:val="clear"/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spacing w:after="0" w:line="240" w:lineRule="auto"/>
              <w:jc w:val="left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Zonas de recarga de acuíferos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auto" w:val="clear"/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spacing w:after="0" w:line="240" w:lineRule="auto"/>
              <w:jc w:val="left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Zonas de recarga de agua, IIEG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auto" w:val="clear"/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1F">
            <w:pPr>
              <w:spacing w:after="0" w:line="240" w:lineRule="auto"/>
              <w:jc w:val="left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Aeródromos 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auto" w:val="clear"/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20">
            <w:pPr>
              <w:spacing w:after="0" w:line="240" w:lineRule="auto"/>
              <w:jc w:val="left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Atlas de caminos y carreteras, </w:t>
              <w:br w:type="textWrapping"/>
              <w:t xml:space="preserve">IIEG.</w:t>
            </w:r>
          </w:p>
        </w:tc>
      </w:tr>
    </w:tbl>
    <w:p w:rsidR="00000000" w:rsidDel="00000000" w:rsidP="00000000" w:rsidRDefault="00000000" w:rsidRPr="00000000" w14:paraId="00000021">
      <w:pPr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spacing w:after="0" w:lineRule="auto"/>
        <w:jc w:val="center"/>
        <w:rPr>
          <w:rFonts w:ascii="Montserrat" w:cs="Montserrat" w:eastAsia="Montserrat" w:hAnsi="Montserrat"/>
        </w:rPr>
      </w:pPr>
      <w:r w:rsidDel="00000000" w:rsidR="00000000" w:rsidRPr="00000000">
        <w:rPr>
          <w:b w:val="1"/>
          <w:sz w:val="18"/>
          <w:szCs w:val="18"/>
          <w:rtl w:val="0"/>
        </w:rPr>
        <w:t xml:space="preserve">Tabla 2.</w:t>
      </w:r>
      <w:r w:rsidDel="00000000" w:rsidR="00000000" w:rsidRPr="00000000">
        <w:rPr>
          <w:sz w:val="18"/>
          <w:szCs w:val="18"/>
          <w:rtl w:val="0"/>
        </w:rPr>
        <w:t xml:space="preserve"> Variables condicionales para la selección de sitios potenciales de rellenos sanitarios municipales.</w:t>
      </w:r>
      <w:r w:rsidDel="00000000" w:rsidR="00000000" w:rsidRPr="00000000">
        <w:rPr>
          <w:rtl w:val="0"/>
        </w:rPr>
      </w:r>
    </w:p>
    <w:tbl>
      <w:tblPr>
        <w:tblStyle w:val="Table2"/>
        <w:tblW w:w="9100.0" w:type="dxa"/>
        <w:jc w:val="left"/>
        <w:tblLayout w:type="fixed"/>
        <w:tblLook w:val="0400"/>
      </w:tblPr>
      <w:tblGrid>
        <w:gridCol w:w="4500"/>
        <w:gridCol w:w="4600"/>
        <w:tblGridChange w:id="0">
          <w:tblGrid>
            <w:gridCol w:w="4500"/>
            <w:gridCol w:w="4600"/>
          </w:tblGrid>
        </w:tblGridChange>
      </w:tblGrid>
      <w:tr>
        <w:trPr>
          <w:cantSplit w:val="0"/>
          <w:trHeight w:val="193.71139866479842" w:hRule="atLeast"/>
          <w:tblHeader w:val="1"/>
        </w:trPr>
        <w:tc>
          <w:tcPr>
            <w:gridSpan w:val="2"/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cccccc" w:val="clear"/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bottom"/>
          </w:tcPr>
          <w:p w:rsidR="00000000" w:rsidDel="00000000" w:rsidP="00000000" w:rsidRDefault="00000000" w:rsidRPr="00000000" w14:paraId="00000023">
            <w:pPr>
              <w:spacing w:after="0" w:line="240" w:lineRule="auto"/>
              <w:jc w:val="center"/>
              <w:rPr>
                <w:rFonts w:ascii="Montserrat" w:cs="Montserrat" w:eastAsia="Montserrat" w:hAnsi="Montserrat"/>
                <w:b w:val="1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color w:val="000000"/>
                <w:sz w:val="18"/>
                <w:szCs w:val="18"/>
                <w:rtl w:val="0"/>
              </w:rPr>
              <w:t xml:space="preserve">Variables condicionales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auto" w:val="clear"/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spacing w:after="0" w:line="240" w:lineRule="auto"/>
              <w:jc w:val="left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Cercanía con atractivos turísticos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auto" w:val="clear"/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spacing w:after="0" w:line="240" w:lineRule="auto"/>
              <w:jc w:val="left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 Atlas de </w:t>
              <w:br w:type="textWrapping"/>
              <w:t xml:space="preserve">caminos y carreteras del estado de Jalisco, IIEG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auto" w:val="clear"/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spacing w:after="0" w:line="240" w:lineRule="auto"/>
              <w:jc w:val="left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Cercanía a caminos y carreteras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auto" w:val="clear"/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spacing w:after="0" w:line="240" w:lineRule="auto"/>
              <w:jc w:val="left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Atlas de </w:t>
              <w:br w:type="textWrapping"/>
              <w:t xml:space="preserve">caminos y carreteras del estado de Jalisco, IIEG.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auto" w:val="clear"/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29">
            <w:pPr>
              <w:spacing w:after="0" w:line="240" w:lineRule="auto"/>
              <w:jc w:val="left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Intersección con arroyos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auto" w:val="clear"/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2A">
            <w:pPr>
              <w:spacing w:after="0" w:line="240" w:lineRule="auto"/>
              <w:jc w:val="left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Conjunto de datos </w:t>
              <w:br w:type="textWrapping"/>
              <w:t xml:space="preserve">INEGI.</w:t>
            </w:r>
          </w:p>
        </w:tc>
      </w:tr>
      <w:tr>
        <w:trPr>
          <w:cantSplit w:val="0"/>
          <w:trHeight w:val="291.32784966619954" w:hRule="atLeast"/>
          <w:tblHeader w:val="0"/>
        </w:trPr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auto" w:val="clear"/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2B">
            <w:pPr>
              <w:spacing w:after="0" w:line="240" w:lineRule="auto"/>
              <w:jc w:val="left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Uso de suelo y vegetación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auto" w:val="clear"/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2C">
            <w:pPr>
              <w:spacing w:after="0" w:line="240" w:lineRule="auto"/>
              <w:jc w:val="left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Carta temática de uso </w:t>
              <w:br w:type="textWrapping"/>
              <w:t xml:space="preserve">de suelo y vegetación serie VII, INEGI</w:t>
            </w:r>
          </w:p>
        </w:tc>
      </w:tr>
      <w:tr>
        <w:trPr>
          <w:cantSplit w:val="0"/>
          <w:trHeight w:val="193.71139866479842" w:hRule="atLeast"/>
          <w:tblHeader w:val="0"/>
        </w:trPr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auto" w:val="clear"/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2D">
            <w:pPr>
              <w:spacing w:after="0" w:line="240" w:lineRule="auto"/>
              <w:jc w:val="left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Pendientes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auto" w:val="clear"/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2E">
            <w:pPr>
              <w:spacing w:after="0" w:line="240" w:lineRule="auto"/>
              <w:jc w:val="left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 Modelo digital de  elevaciones, IIEG.</w:t>
            </w:r>
          </w:p>
        </w:tc>
      </w:tr>
    </w:tbl>
    <w:p w:rsidR="00000000" w:rsidDel="00000000" w:rsidP="00000000" w:rsidRDefault="00000000" w:rsidRPr="00000000" w14:paraId="0000002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rPr/>
      </w:pPr>
      <w:r w:rsidDel="00000000" w:rsidR="00000000" w:rsidRPr="00000000">
        <w:rPr>
          <w:rtl w:val="0"/>
        </w:rPr>
        <w:t xml:space="preserve">Se llevó a cabo un análisis espacial por medio de álgebra de mapas:</w:t>
      </w:r>
    </w:p>
    <w:p w:rsidR="00000000" w:rsidDel="00000000" w:rsidP="00000000" w:rsidRDefault="00000000" w:rsidRPr="00000000" w14:paraId="00000031">
      <w:pPr>
        <w:numPr>
          <w:ilvl w:val="0"/>
          <w:numId w:val="1"/>
        </w:numPr>
        <w:spacing w:after="0" w:afterAutospacing="0"/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Se rasterizaron todas las capas vectoriales.</w:t>
      </w:r>
    </w:p>
    <w:p w:rsidR="00000000" w:rsidDel="00000000" w:rsidP="00000000" w:rsidRDefault="00000000" w:rsidRPr="00000000" w14:paraId="00000032">
      <w:pPr>
        <w:numPr>
          <w:ilvl w:val="0"/>
          <w:numId w:val="1"/>
        </w:numPr>
        <w:spacing w:after="0" w:afterAutospacing="0"/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Se hizo una intersección entre las capas ráster.</w:t>
      </w:r>
    </w:p>
    <w:p w:rsidR="00000000" w:rsidDel="00000000" w:rsidP="00000000" w:rsidRDefault="00000000" w:rsidRPr="00000000" w14:paraId="00000033">
      <w:pPr>
        <w:numPr>
          <w:ilvl w:val="0"/>
          <w:numId w:val="1"/>
        </w:numPr>
        <w:spacing w:after="0" w:afterAutospacing="0"/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Se obtuvieron los polígonos de las áreas libres de restricciones en el primer filtro, un total de 4,645.</w:t>
      </w:r>
    </w:p>
    <w:p w:rsidR="00000000" w:rsidDel="00000000" w:rsidP="00000000" w:rsidRDefault="00000000" w:rsidRPr="00000000" w14:paraId="00000034">
      <w:pPr>
        <w:numPr>
          <w:ilvl w:val="0"/>
          <w:numId w:val="1"/>
        </w:numPr>
        <w:spacing w:after="0" w:afterAutospacing="0"/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Para el segundo filtro quedaron 440, que están a menos de 500m de algún camino o carretera.</w:t>
      </w:r>
    </w:p>
    <w:p w:rsidR="00000000" w:rsidDel="00000000" w:rsidP="00000000" w:rsidRDefault="00000000" w:rsidRPr="00000000" w14:paraId="00000035">
      <w:pPr>
        <w:numPr>
          <w:ilvl w:val="0"/>
          <w:numId w:val="1"/>
        </w:numPr>
        <w:spacing w:after="0" w:afterAutospacing="0"/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Se inició con la revisión manual y se eliminaron los de mayor cercanía a Áreas Naturales Protegidas y Sitios de interés turístico.</w:t>
      </w:r>
    </w:p>
    <w:p w:rsidR="00000000" w:rsidDel="00000000" w:rsidP="00000000" w:rsidRDefault="00000000" w:rsidRPr="00000000" w14:paraId="00000036">
      <w:pPr>
        <w:numPr>
          <w:ilvl w:val="0"/>
          <w:numId w:val="1"/>
        </w:numPr>
        <w:spacing w:after="0" w:afterAutospacing="0"/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Se consultaron los Ordenamientos Ecológicos siguientes:</w:t>
      </w:r>
    </w:p>
    <w:p w:rsidR="00000000" w:rsidDel="00000000" w:rsidP="00000000" w:rsidRDefault="00000000" w:rsidRPr="00000000" w14:paraId="00000037">
      <w:pPr>
        <w:numPr>
          <w:ilvl w:val="1"/>
          <w:numId w:val="1"/>
        </w:numPr>
        <w:spacing w:after="0" w:afterAutospacing="0"/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Estado de Jalisco</w:t>
      </w:r>
    </w:p>
    <w:p w:rsidR="00000000" w:rsidDel="00000000" w:rsidP="00000000" w:rsidRDefault="00000000" w:rsidRPr="00000000" w14:paraId="00000038">
      <w:pPr>
        <w:numPr>
          <w:ilvl w:val="1"/>
          <w:numId w:val="1"/>
        </w:numPr>
        <w:spacing w:after="0" w:afterAutospacing="0"/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Región “Cuenca del Río Verde”</w:t>
      </w:r>
    </w:p>
    <w:p w:rsidR="00000000" w:rsidDel="00000000" w:rsidP="00000000" w:rsidRDefault="00000000" w:rsidRPr="00000000" w14:paraId="00000039">
      <w:pPr>
        <w:numPr>
          <w:ilvl w:val="1"/>
          <w:numId w:val="1"/>
        </w:numPr>
        <w:spacing w:after="0" w:afterAutospacing="0"/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Región “Cuenca del Río Zula”</w:t>
      </w:r>
    </w:p>
    <w:p w:rsidR="00000000" w:rsidDel="00000000" w:rsidP="00000000" w:rsidRDefault="00000000" w:rsidRPr="00000000" w14:paraId="0000003A">
      <w:pPr>
        <w:numPr>
          <w:ilvl w:val="1"/>
          <w:numId w:val="1"/>
        </w:numPr>
        <w:spacing w:after="0" w:afterAutospacing="0"/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Local de Zapotlanejo</w:t>
      </w:r>
    </w:p>
    <w:p w:rsidR="00000000" w:rsidDel="00000000" w:rsidP="00000000" w:rsidRDefault="00000000" w:rsidRPr="00000000" w14:paraId="0000003B">
      <w:pPr>
        <w:numPr>
          <w:ilvl w:val="0"/>
          <w:numId w:val="1"/>
        </w:numPr>
        <w:spacing w:after="0" w:afterAutospacing="0"/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Se dejaron fuera los polígonos que se encuentran fuera de las políticas “</w:t>
      </w:r>
      <w:r w:rsidDel="00000000" w:rsidR="00000000" w:rsidRPr="00000000">
        <w:rPr>
          <w:b w:val="1"/>
          <w:rtl w:val="0"/>
        </w:rPr>
        <w:t xml:space="preserve">Conservación</w:t>
      </w:r>
      <w:r w:rsidDel="00000000" w:rsidR="00000000" w:rsidRPr="00000000">
        <w:rPr>
          <w:rtl w:val="0"/>
        </w:rPr>
        <w:t xml:space="preserve">” y “</w:t>
      </w:r>
      <w:r w:rsidDel="00000000" w:rsidR="00000000" w:rsidRPr="00000000">
        <w:rPr>
          <w:b w:val="1"/>
          <w:rtl w:val="0"/>
        </w:rPr>
        <w:t xml:space="preserve">Protección</w:t>
      </w:r>
      <w:r w:rsidDel="00000000" w:rsidR="00000000" w:rsidRPr="00000000">
        <w:rPr>
          <w:rtl w:val="0"/>
        </w:rPr>
        <w:t xml:space="preserve">” de los ordenamientos.</w:t>
      </w:r>
    </w:p>
    <w:p w:rsidR="00000000" w:rsidDel="00000000" w:rsidP="00000000" w:rsidRDefault="00000000" w:rsidRPr="00000000" w14:paraId="0000003C">
      <w:pPr>
        <w:numPr>
          <w:ilvl w:val="0"/>
          <w:numId w:val="1"/>
        </w:numPr>
        <w:spacing w:after="0" w:afterAutospacing="0"/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Se descartaron también las Áreas Elegibles para Cultivo de Agave.</w:t>
      </w:r>
    </w:p>
    <w:p w:rsidR="00000000" w:rsidDel="00000000" w:rsidP="00000000" w:rsidRDefault="00000000" w:rsidRPr="00000000" w14:paraId="0000003D">
      <w:pPr>
        <w:numPr>
          <w:ilvl w:val="0"/>
          <w:numId w:val="1"/>
        </w:numPr>
        <w:spacing w:after="0" w:afterAutospacing="0"/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Se excluyeron los que tuvieran una superficie menor a una hectárea.</w:t>
      </w:r>
    </w:p>
    <w:p w:rsidR="00000000" w:rsidDel="00000000" w:rsidP="00000000" w:rsidRDefault="00000000" w:rsidRPr="00000000" w14:paraId="0000003E">
      <w:pPr>
        <w:numPr>
          <w:ilvl w:val="0"/>
          <w:numId w:val="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Se agregaron los campos de “Observaciones” y “Comentarios”, en los que se hace referencia si pertenecen a algún polígono decretado en el Plan de acción para la conectividad ecológica de Jalisco.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spacing w:after="0" w:lineRule="auto"/>
        <w:jc w:val="center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</w:rPr>
        <w:drawing>
          <wp:inline distB="0" distT="0" distL="0" distR="0">
            <wp:extent cx="4614265" cy="3358832"/>
            <wp:effectExtent b="0" l="0" r="0" t="0"/>
            <wp:docPr id="7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14265" cy="335883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jc w:val="center"/>
        <w:rPr>
          <w:sz w:val="18"/>
          <w:szCs w:val="18"/>
        </w:rPr>
      </w:pPr>
      <w:r w:rsidDel="00000000" w:rsidR="00000000" w:rsidRPr="00000000">
        <w:rPr>
          <w:b w:val="1"/>
          <w:sz w:val="18"/>
          <w:szCs w:val="18"/>
          <w:rtl w:val="0"/>
        </w:rPr>
        <w:t xml:space="preserve">Figura 2.</w:t>
      </w:r>
      <w:r w:rsidDel="00000000" w:rsidR="00000000" w:rsidRPr="00000000">
        <w:rPr>
          <w:sz w:val="18"/>
          <w:szCs w:val="18"/>
          <w:rtl w:val="0"/>
        </w:rPr>
        <w:t xml:space="preserve"> Procesamiento inicial de álgebra de mapas para la selección de sitios potenciales de rellenos sanitarios municipales.</w:t>
      </w:r>
    </w:p>
    <w:p w:rsidR="00000000" w:rsidDel="00000000" w:rsidP="00000000" w:rsidRDefault="00000000" w:rsidRPr="00000000" w14:paraId="00000041">
      <w:pPr>
        <w:rPr/>
      </w:pPr>
      <w:r w:rsidDel="00000000" w:rsidR="00000000" w:rsidRPr="00000000">
        <w:rPr>
          <w:rtl w:val="0"/>
        </w:rPr>
        <w:t xml:space="preserve">Se </w:t>
      </w:r>
      <w:r w:rsidDel="00000000" w:rsidR="00000000" w:rsidRPr="00000000">
        <w:rPr>
          <w:rtl w:val="0"/>
        </w:rPr>
        <w:t xml:space="preserve">obtuvo</w:t>
      </w:r>
      <w:r w:rsidDel="00000000" w:rsidR="00000000" w:rsidRPr="00000000">
        <w:rPr>
          <w:rtl w:val="0"/>
        </w:rPr>
        <w:t xml:space="preserve"> como resultado 23 polígonos de sitios potenciales para rellenos sanitarios municipales.</w:t>
      </w:r>
    </w:p>
    <w:p w:rsidR="00000000" w:rsidDel="00000000" w:rsidP="00000000" w:rsidRDefault="00000000" w:rsidRPr="00000000" w14:paraId="00000042">
      <w:pPr>
        <w:jc w:val="center"/>
        <w:rPr>
          <w:sz w:val="18"/>
          <w:szCs w:val="18"/>
        </w:rPr>
      </w:pPr>
      <w:r w:rsidDel="00000000" w:rsidR="00000000" w:rsidRPr="00000000">
        <w:rPr>
          <w:b w:val="1"/>
          <w:sz w:val="18"/>
          <w:szCs w:val="18"/>
          <w:rtl w:val="0"/>
        </w:rPr>
        <w:t xml:space="preserve">Tabla 3.</w:t>
      </w:r>
      <w:r w:rsidDel="00000000" w:rsidR="00000000" w:rsidRPr="00000000">
        <w:rPr>
          <w:sz w:val="18"/>
          <w:szCs w:val="18"/>
          <w:rtl w:val="0"/>
        </w:rPr>
        <w:t xml:space="preserve"> Sitios potenciales para la ubicación de rellenos sanitarios municipales de acuerdo con la NOM-083-SEMARNAT 2003.</w:t>
      </w:r>
    </w:p>
    <w:tbl>
      <w:tblPr>
        <w:tblStyle w:val="Table3"/>
        <w:tblW w:w="883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570"/>
        <w:gridCol w:w="1350"/>
        <w:gridCol w:w="1485"/>
        <w:gridCol w:w="2055"/>
        <w:gridCol w:w="3375"/>
        <w:tblGridChange w:id="0">
          <w:tblGrid>
            <w:gridCol w:w="570"/>
            <w:gridCol w:w="1350"/>
            <w:gridCol w:w="1485"/>
            <w:gridCol w:w="2055"/>
            <w:gridCol w:w="3375"/>
          </w:tblGrid>
        </w:tblGridChange>
      </w:tblGrid>
      <w:tr>
        <w:trPr>
          <w:cantSplit w:val="0"/>
          <w:tblHeader w:val="1"/>
        </w:trPr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cccccc" w:val="clear"/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43">
            <w:pPr>
              <w:spacing w:after="0" w:lineRule="auto"/>
              <w:jc w:val="center"/>
              <w:rPr>
                <w:b w:val="1"/>
                <w:sz w:val="18"/>
                <w:szCs w:val="18"/>
              </w:rPr>
            </w:pPr>
            <w:r w:rsidDel="00000000" w:rsidR="00000000" w:rsidRPr="00000000">
              <w:rPr>
                <w:b w:val="1"/>
                <w:sz w:val="18"/>
                <w:szCs w:val="18"/>
                <w:rtl w:val="0"/>
              </w:rPr>
              <w:t xml:space="preserve">No.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cccccc" w:val="clear"/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44">
            <w:pPr>
              <w:spacing w:after="0" w:lineRule="auto"/>
              <w:jc w:val="center"/>
              <w:rPr>
                <w:b w:val="1"/>
                <w:sz w:val="18"/>
                <w:szCs w:val="18"/>
              </w:rPr>
            </w:pPr>
            <w:r w:rsidDel="00000000" w:rsidR="00000000" w:rsidRPr="00000000">
              <w:rPr>
                <w:b w:val="1"/>
                <w:sz w:val="18"/>
                <w:szCs w:val="18"/>
                <w:rtl w:val="0"/>
              </w:rPr>
              <w:t xml:space="preserve">Municipio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cccccc" w:val="clear"/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45">
            <w:pPr>
              <w:spacing w:after="0" w:lineRule="auto"/>
              <w:jc w:val="center"/>
              <w:rPr>
                <w:b w:val="1"/>
                <w:sz w:val="18"/>
                <w:szCs w:val="18"/>
              </w:rPr>
            </w:pPr>
            <w:r w:rsidDel="00000000" w:rsidR="00000000" w:rsidRPr="00000000">
              <w:rPr>
                <w:b w:val="1"/>
                <w:sz w:val="18"/>
                <w:szCs w:val="18"/>
                <w:rtl w:val="0"/>
              </w:rPr>
              <w:t xml:space="preserve">Hectáreas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cccccc" w:val="clear"/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46">
            <w:pPr>
              <w:spacing w:after="0" w:lineRule="auto"/>
              <w:jc w:val="center"/>
              <w:rPr>
                <w:b w:val="1"/>
                <w:sz w:val="18"/>
                <w:szCs w:val="18"/>
              </w:rPr>
            </w:pPr>
            <w:r w:rsidDel="00000000" w:rsidR="00000000" w:rsidRPr="00000000">
              <w:rPr>
                <w:b w:val="1"/>
                <w:sz w:val="18"/>
                <w:szCs w:val="18"/>
                <w:rtl w:val="0"/>
              </w:rPr>
              <w:t xml:space="preserve">Observaciones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cccccc" w:val="clear"/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47">
            <w:pPr>
              <w:spacing w:after="0" w:lineRule="auto"/>
              <w:jc w:val="center"/>
              <w:rPr>
                <w:b w:val="1"/>
                <w:sz w:val="18"/>
                <w:szCs w:val="18"/>
              </w:rPr>
            </w:pPr>
            <w:r w:rsidDel="00000000" w:rsidR="00000000" w:rsidRPr="00000000">
              <w:rPr>
                <w:b w:val="1"/>
                <w:sz w:val="18"/>
                <w:szCs w:val="18"/>
                <w:rtl w:val="0"/>
              </w:rPr>
              <w:t xml:space="preserve">Comentarios</w:t>
            </w:r>
          </w:p>
        </w:tc>
      </w:tr>
      <w:tr>
        <w:trPr>
          <w:cantSplit w:val="1"/>
          <w:tblHeader w:val="0"/>
        </w:trPr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48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1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49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Arandas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4A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2.0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4B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4C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4D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2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4E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Arandas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4F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2.6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50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51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52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3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53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Arandas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54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20.9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55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56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57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4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58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Arandas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59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7.3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5A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5B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5C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5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5D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Arandas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5E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1.5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5F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60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61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6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62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Jalostotitlán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63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94.2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64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Plan de acción para la conectividad ecológica de Jalisco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65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Áreas identificadas para corredores / Prioritarias para restauración productiva agrícola pastizal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66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7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67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Jalostotitlán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68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49.7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69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Plan de acción para la conectividad ecológica de Jalisco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6A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Áreas identificadas para corredores / Conservación de Tierras Forestales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6B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8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6C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Jalostotitlán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6D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2.0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6E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Plan de acción para la conectividad ecológica de Jalisco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6F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Áreas identificadas para corredores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70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9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71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Jalostotitlán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72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1.2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73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Plan de acción para la conectividad ecológica de Jalisco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74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Áreas identificadas para corredores / Conservación de Tierras Forestales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75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10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76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Jalostotitlán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77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12.7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78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Plan de acción para la conectividad ecológica de Jalisco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79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Áreas identificadas para corredores / Conservación de Tierras Forestales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7A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11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7B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Jalostotitlán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7C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2.6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7D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Plan de acción para la conectividad ecológica de Jalisco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7E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Áreas identificadas para corredores / Conservación de Tierras Forestales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7F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12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80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Jalostotitlán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81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1.4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82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Plan de acción para la conectividad ecológica de Jalisco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83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Áreas identificadas para corredores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84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13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85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Jalostotitlán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86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2.1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87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Plan de acción para la conectividad ecológica de Jalisco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88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Áreas identificadas para corredores / Conservación de Tierras Forestales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89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14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8A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Jalostotitlán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8B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17.0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8C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Plan de acción para la conectividad ecológica de Jalisco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8D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Áreas identificadas para corredores / Conservación de Tierras Forestales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8E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15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8F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Jalostotitlán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90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1.5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91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Plan de acción para la conectividad ecológica de Jalisco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92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Áreas identificadas para corredores / Conservación de Tierras Forestales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93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16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94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Jalostotitlán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95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1.1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96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Plan de acción para la conectividad ecológica de Jalisco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97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Áreas identificadas para corredores / Conservación de Tierras Forestales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98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17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99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Jalostotitlán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9A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1.4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9B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Plan de acción para la conectividad ecológica de Jalisco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9C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Áreas identificadas para corredores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9D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18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9E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Jalostotitlán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9F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2.1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A0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Plan de acción para la conectividad ecológica de Jalisco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A1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Áreas identificadas para corredores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A2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19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A3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San Julián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A4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9.0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A5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A6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A7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20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A8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San Miguel El Alto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A9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1.7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AA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AB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AC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21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AD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Valle De Guadalupe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AE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1.0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AF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B0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B1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22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B2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Valle De Guadalupe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B3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1.5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B4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B5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B6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23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B7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Cañadas De Obregón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B8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1.9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B9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Plan de acción para la conectividad ecológica de Jalisco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center"/>
          </w:tcPr>
          <w:p w:rsidR="00000000" w:rsidDel="00000000" w:rsidP="00000000" w:rsidRDefault="00000000" w:rsidRPr="00000000" w14:paraId="000000BA">
            <w:pPr>
              <w:spacing w:after="0" w:lineRule="auto"/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Áreas identificadas para corredores / Áreas prioritarias para restauración productiva agrícola</w:t>
            </w:r>
          </w:p>
        </w:tc>
      </w:tr>
    </w:tbl>
    <w:p w:rsidR="00000000" w:rsidDel="00000000" w:rsidP="00000000" w:rsidRDefault="00000000" w:rsidRPr="00000000" w14:paraId="000000BB">
      <w:pPr>
        <w:spacing w:after="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C">
      <w:pPr>
        <w:spacing w:after="0" w:lineRule="auto"/>
        <w:jc w:val="center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</w:rPr>
        <w:drawing>
          <wp:inline distB="0" distT="0" distL="0" distR="0">
            <wp:extent cx="5114440" cy="3861732"/>
            <wp:effectExtent b="0" l="0" r="0" t="0"/>
            <wp:docPr id="9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14440" cy="386173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D">
      <w:pPr>
        <w:jc w:val="center"/>
        <w:rPr/>
      </w:pPr>
      <w:r w:rsidDel="00000000" w:rsidR="00000000" w:rsidRPr="00000000">
        <w:rPr>
          <w:b w:val="1"/>
          <w:sz w:val="18"/>
          <w:szCs w:val="18"/>
          <w:rtl w:val="0"/>
        </w:rPr>
        <w:t xml:space="preserve">Figura 3.</w:t>
      </w:r>
      <w:r w:rsidDel="00000000" w:rsidR="00000000" w:rsidRPr="00000000">
        <w:rPr>
          <w:sz w:val="18"/>
          <w:szCs w:val="18"/>
          <w:rtl w:val="0"/>
        </w:rPr>
        <w:t xml:space="preserve"> Sitios potenciales para la ubicación de rellenos sanitarios municipales de acuerdo con la NOM-083-SEMARNAT 2003.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E">
      <w:pPr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  <w:t xml:space="preserve">Es importante mencionar que este análisis técnico solamente contempla uno de los aspectos descritos en la</w:t>
      </w:r>
      <w:r w:rsidDel="00000000" w:rsidR="00000000" w:rsidRPr="00000000">
        <w:rPr>
          <w:rtl w:val="0"/>
        </w:rPr>
        <w:t xml:space="preserve"> NOM-083-SEMARNAT 2003. Dicha norma también establece los requerimientos de diseño, construcción, operación, monitoreo y clausura de sitios de disposición final. Asimismo, para la construcción de un relleno sanitario se requiere cumplir con otros requisitos, como la elaboración y presentación de una Manifestación de Impacto Ambiental ante la Secretaría de Medio Ambiente y Desarrollo Territorial del Estado de Jalisco, como lo establece el artículo 5 del Reglamento de la Ley Estatal del Equilibrio Ecológico y la Protección al Ambiente en materia de impacto ambiental, explotación de bancos de material geológico, yacimientos pétreos y de prevención y control de la contaminación a la atmósfera generada por fuentes fijas en el estado de Jalisco.</w:t>
      </w:r>
      <w:r w:rsidDel="00000000" w:rsidR="00000000" w:rsidRPr="00000000">
        <w:rPr>
          <w:rtl w:val="0"/>
        </w:rPr>
      </w:r>
    </w:p>
    <w:sectPr>
      <w:headerReference r:id="rId10" w:type="default"/>
      <w:footerReference r:id="rId11" w:type="default"/>
      <w:pgSz w:h="15840" w:w="12240" w:orient="portrait"/>
      <w:pgMar w:bottom="1417" w:top="1417" w:left="1701" w:right="1701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Times New Roman"/>
  <w:font w:name="Georgia"/>
  <w:font w:name="Montserrat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C0">
    <w:pPr>
      <w:jc w:val="right"/>
      <w:rPr>
        <w:b w:val="1"/>
        <w:sz w:val="18"/>
        <w:szCs w:val="18"/>
      </w:rPr>
    </w:pPr>
    <w:r w:rsidDel="00000000" w:rsidR="00000000" w:rsidRPr="00000000">
      <w:rPr>
        <w:sz w:val="18"/>
        <w:szCs w:val="18"/>
        <w:rtl w:val="0"/>
      </w:rPr>
      <w:t xml:space="preserve">Página </w:t>
    </w:r>
    <w:r w:rsidDel="00000000" w:rsidR="00000000" w:rsidRPr="00000000">
      <w:rPr>
        <w:b w:val="1"/>
        <w:sz w:val="18"/>
        <w:szCs w:val="18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sz w:val="18"/>
        <w:szCs w:val="18"/>
        <w:rtl w:val="0"/>
      </w:rPr>
      <w:t xml:space="preserve"> de </w:t>
    </w:r>
    <w:r w:rsidDel="00000000" w:rsidR="00000000" w:rsidRPr="00000000">
      <w:rPr>
        <w:b w:val="1"/>
        <w:sz w:val="18"/>
        <w:szCs w:val="18"/>
      </w:rPr>
      <w:fldChar w:fldCharType="begin"/>
      <w:instrText xml:space="preserve">NUMPAGES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BF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419"/>
        <w:tab w:val="right" w:leader="none" w:pos="8838"/>
      </w:tabs>
      <w:spacing w:after="0" w:before="0" w:line="240" w:lineRule="auto"/>
      <w:ind w:left="0" w:right="0" w:firstLine="0"/>
      <w:jc w:val="center"/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  <w:drawing>
        <wp:inline distB="0" distT="0" distL="0" distR="0">
          <wp:extent cx="2275856" cy="821966"/>
          <wp:effectExtent b="0" l="0" r="0" t="0"/>
          <wp:docPr id="8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2275856" cy="821966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Montserrat" w:cs="Montserrat" w:eastAsia="Montserrat" w:hAnsi="Montserrat"/>
        <w:lang w:val="es-MX"/>
      </w:rPr>
    </w:rPrDefault>
    <w:pPrDefault>
      <w:pPr>
        <w:spacing w:after="240" w:line="276" w:lineRule="auto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0" w:before="240" w:lineRule="auto"/>
    </w:pPr>
    <w:rPr>
      <w:rFonts w:ascii="Calibri" w:cs="Calibri" w:eastAsia="Calibri" w:hAnsi="Calibri"/>
      <w:color w:val="2e75b5"/>
      <w:sz w:val="32"/>
      <w:szCs w:val="32"/>
    </w:rPr>
  </w:style>
  <w:style w:type="paragraph" w:styleId="Heading2">
    <w:name w:val="heading 2"/>
    <w:basedOn w:val="Normal"/>
    <w:next w:val="Normal"/>
    <w:pPr>
      <w:spacing w:line="240" w:lineRule="auto"/>
    </w:pPr>
    <w:rPr>
      <w:rFonts w:ascii="Times New Roman" w:cs="Times New Roman" w:eastAsia="Times New Roman" w:hAnsi="Times New Roman"/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  <w:qFormat w:val="1"/>
  </w:style>
  <w:style w:type="paragraph" w:styleId="Ttulo1">
    <w:name w:val="heading 1"/>
    <w:basedOn w:val="Normal"/>
    <w:next w:val="Normal"/>
    <w:link w:val="Ttulo1Car"/>
    <w:uiPriority w:val="9"/>
    <w:qFormat w:val="1"/>
    <w:rsid w:val="00107DC8"/>
    <w:pPr>
      <w:keepNext w:val="1"/>
      <w:keepLines w:val="1"/>
      <w:spacing w:after="0" w:before="240"/>
      <w:outlineLvl w:val="0"/>
    </w:pPr>
    <w:rPr>
      <w:rFonts w:asciiTheme="majorHAnsi" w:cstheme="majorBidi" w:eastAsiaTheme="majorEastAsia" w:hAnsiTheme="majorHAnsi"/>
      <w:color w:val="2e74b5" w:themeColor="accent1" w:themeShade="0000BF"/>
      <w:sz w:val="32"/>
      <w:szCs w:val="32"/>
    </w:rPr>
  </w:style>
  <w:style w:type="paragraph" w:styleId="Ttulo2">
    <w:name w:val="heading 2"/>
    <w:basedOn w:val="Normal"/>
    <w:link w:val="Ttulo2Car"/>
    <w:uiPriority w:val="9"/>
    <w:qFormat w:val="1"/>
    <w:rsid w:val="008C0C73"/>
    <w:pPr>
      <w:spacing w:after="100" w:afterAutospacing="1" w:before="100" w:beforeAutospacing="1" w:line="240" w:lineRule="auto"/>
      <w:outlineLvl w:val="1"/>
    </w:pPr>
    <w:rPr>
      <w:rFonts w:ascii="Times New Roman" w:cs="Times New Roman" w:eastAsia="Times New Roman" w:hAnsi="Times New Roman"/>
      <w:b w:val="1"/>
      <w:bCs w:val="1"/>
      <w:sz w:val="36"/>
      <w:szCs w:val="36"/>
      <w:lang w:eastAsia="es-MX"/>
    </w:rPr>
  </w:style>
  <w:style w:type="character" w:styleId="Fuentedeprrafopredeter" w:default="1">
    <w:name w:val="Default Paragraph Font"/>
    <w:uiPriority w:val="1"/>
    <w:semiHidden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paragraph" w:styleId="Encabezado">
    <w:name w:val="header"/>
    <w:basedOn w:val="Normal"/>
    <w:link w:val="EncabezadoCar"/>
    <w:uiPriority w:val="99"/>
    <w:unhideWhenUsed w:val="1"/>
    <w:rsid w:val="00847611"/>
    <w:pPr>
      <w:tabs>
        <w:tab w:val="center" w:pos="4419"/>
        <w:tab w:val="right" w:pos="8838"/>
      </w:tabs>
      <w:spacing w:after="0" w:line="240" w:lineRule="auto"/>
    </w:pPr>
  </w:style>
  <w:style w:type="character" w:styleId="EncabezadoCar" w:customStyle="1">
    <w:name w:val="Encabezado Car"/>
    <w:basedOn w:val="Fuentedeprrafopredeter"/>
    <w:link w:val="Encabezado"/>
    <w:uiPriority w:val="99"/>
    <w:rsid w:val="00847611"/>
  </w:style>
  <w:style w:type="paragraph" w:styleId="Piedepgina">
    <w:name w:val="footer"/>
    <w:basedOn w:val="Normal"/>
    <w:link w:val="PiedepginaCar"/>
    <w:uiPriority w:val="99"/>
    <w:unhideWhenUsed w:val="1"/>
    <w:rsid w:val="00847611"/>
    <w:pPr>
      <w:tabs>
        <w:tab w:val="center" w:pos="4419"/>
        <w:tab w:val="right" w:pos="8838"/>
      </w:tabs>
      <w:spacing w:after="0" w:line="240" w:lineRule="auto"/>
    </w:pPr>
  </w:style>
  <w:style w:type="character" w:styleId="PiedepginaCar" w:customStyle="1">
    <w:name w:val="Pie de página Car"/>
    <w:basedOn w:val="Fuentedeprrafopredeter"/>
    <w:link w:val="Piedepgina"/>
    <w:uiPriority w:val="99"/>
    <w:rsid w:val="00847611"/>
  </w:style>
  <w:style w:type="character" w:styleId="Ttulo2Car" w:customStyle="1">
    <w:name w:val="Título 2 Car"/>
    <w:basedOn w:val="Fuentedeprrafopredeter"/>
    <w:link w:val="Ttulo2"/>
    <w:uiPriority w:val="9"/>
    <w:rsid w:val="008C0C73"/>
    <w:rPr>
      <w:rFonts w:ascii="Times New Roman" w:cs="Times New Roman" w:eastAsia="Times New Roman" w:hAnsi="Times New Roman"/>
      <w:b w:val="1"/>
      <w:bCs w:val="1"/>
      <w:sz w:val="36"/>
      <w:szCs w:val="36"/>
      <w:lang w:eastAsia="es-MX"/>
    </w:rPr>
  </w:style>
  <w:style w:type="character" w:styleId="nfasis">
    <w:name w:val="Emphasis"/>
    <w:basedOn w:val="Fuentedeprrafopredeter"/>
    <w:uiPriority w:val="20"/>
    <w:qFormat w:val="1"/>
    <w:rsid w:val="008C0C73"/>
    <w:rPr>
      <w:i w:val="1"/>
      <w:iCs w:val="1"/>
    </w:rPr>
  </w:style>
  <w:style w:type="character" w:styleId="Ttulo1Car" w:customStyle="1">
    <w:name w:val="Título 1 Car"/>
    <w:basedOn w:val="Fuentedeprrafopredeter"/>
    <w:link w:val="Ttulo1"/>
    <w:uiPriority w:val="9"/>
    <w:rsid w:val="00107DC8"/>
    <w:rPr>
      <w:rFonts w:asciiTheme="majorHAnsi" w:cstheme="majorBidi" w:eastAsiaTheme="majorEastAsia" w:hAnsiTheme="majorHAnsi"/>
      <w:color w:val="2e74b5" w:themeColor="accent1" w:themeShade="0000BF"/>
      <w:sz w:val="32"/>
      <w:szCs w:val="3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footer" Target="footer1.xml"/><Relationship Id="rId10" Type="http://schemas.openxmlformats.org/officeDocument/2006/relationships/header" Target="header1.xml"/><Relationship Id="rId9" Type="http://schemas.openxmlformats.org/officeDocument/2006/relationships/image" Target="media/image4.pn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2.png"/><Relationship Id="rId8" Type="http://schemas.openxmlformats.org/officeDocument/2006/relationships/image" Target="media/image3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Montserrat-regular.ttf"/><Relationship Id="rId2" Type="http://schemas.openxmlformats.org/officeDocument/2006/relationships/font" Target="fonts/Montserrat-bold.ttf"/><Relationship Id="rId3" Type="http://schemas.openxmlformats.org/officeDocument/2006/relationships/font" Target="fonts/Montserrat-italic.ttf"/><Relationship Id="rId4" Type="http://schemas.openxmlformats.org/officeDocument/2006/relationships/font" Target="fonts/Montserrat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RFFzn3iyKrA9jqXZNkAawX7DsOA==">CgMxLjA4AHIhMVd3SEhuNDVHN05KbnhVcUNzWmpUV0RHUjFOb3MyalFl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2025-01-24T17:06:00Z</dcterms:created>
  <dc:creator>Karla Elizalde Trujillo</dc:creator>
</cp:coreProperties>
</file>